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799B9" w14:textId="1C932C34" w:rsidR="00EA7E07" w:rsidRPr="00280956" w:rsidRDefault="00EA7E07" w:rsidP="00EA7E07">
      <w:pPr>
        <w:tabs>
          <w:tab w:val="left" w:pos="1985"/>
        </w:tabs>
        <w:spacing w:after="0"/>
        <w:ind w:left="281" w:hangingChars="100" w:hanging="281"/>
        <w:rPr>
          <w:rFonts w:ascii="Arial" w:eastAsiaTheme="minorEastAsia" w:hAnsi="Arial" w:cs="Arial"/>
          <w:b/>
          <w:bCs/>
          <w:sz w:val="28"/>
          <w:lang w:eastAsia="ko-KR"/>
        </w:rPr>
      </w:pPr>
      <w:r w:rsidRPr="0052548E">
        <w:rPr>
          <w:rFonts w:ascii="Arial" w:hAnsi="Arial" w:cs="Arial"/>
          <w:b/>
          <w:bCs/>
          <w:sz w:val="28"/>
        </w:rPr>
        <w:t xml:space="preserve">3GPP TSG RAN WG1 </w:t>
      </w:r>
      <w:r>
        <w:rPr>
          <w:rFonts w:ascii="Arial" w:eastAsiaTheme="minorEastAsia" w:hAnsi="Arial" w:cs="Arial" w:hint="eastAsia"/>
          <w:b/>
          <w:bCs/>
          <w:sz w:val="28"/>
          <w:lang w:eastAsia="ko-KR"/>
        </w:rPr>
        <w:t>Meeting</w:t>
      </w:r>
      <w:r>
        <w:rPr>
          <w:rFonts w:ascii="Arial" w:hAnsi="Arial" w:cs="Arial"/>
          <w:b/>
          <w:bCs/>
          <w:sz w:val="28"/>
        </w:rPr>
        <w:t xml:space="preserve"> #93</w:t>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Pr>
          <w:rFonts w:ascii="Arial" w:eastAsia="맑은 고딕" w:hAnsi="Arial" w:cs="Arial"/>
          <w:b/>
          <w:bCs/>
          <w:sz w:val="28"/>
          <w:lang w:eastAsia="ko-KR"/>
        </w:rPr>
        <w:tab/>
      </w:r>
      <w:r>
        <w:rPr>
          <w:rFonts w:ascii="Arial" w:eastAsia="맑은 고딕" w:hAnsi="Arial" w:cs="Arial"/>
          <w:b/>
          <w:bCs/>
          <w:sz w:val="28"/>
          <w:lang w:eastAsia="ko-KR"/>
        </w:rPr>
        <w:tab/>
        <w:t xml:space="preserve"> </w:t>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506024">
        <w:rPr>
          <w:rFonts w:ascii="Arial" w:hAnsi="Arial" w:cs="Arial"/>
          <w:b/>
          <w:bCs/>
          <w:sz w:val="28"/>
        </w:rPr>
        <w:t>R1-1</w:t>
      </w:r>
      <w:r>
        <w:rPr>
          <w:rFonts w:ascii="Arial" w:hAnsi="Arial" w:cs="Arial"/>
          <w:b/>
          <w:bCs/>
          <w:sz w:val="28"/>
        </w:rPr>
        <w:t>806631</w:t>
      </w:r>
    </w:p>
    <w:p w14:paraId="3BD11132" w14:textId="77777777" w:rsidR="00EA7E07" w:rsidRDefault="00EA7E07" w:rsidP="00EA7E07">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Busan, Korea, May 21</w:t>
      </w:r>
      <w:r w:rsidRPr="00F45E4B">
        <w:rPr>
          <w:rFonts w:ascii="Arial" w:hAnsi="Arial" w:cs="Arial"/>
          <w:b/>
          <w:bCs/>
          <w:sz w:val="28"/>
          <w:vertAlign w:val="superscript"/>
          <w:lang w:eastAsia="ja-JP"/>
        </w:rPr>
        <w:t>st</w:t>
      </w:r>
      <w:r>
        <w:rPr>
          <w:rFonts w:ascii="Arial" w:hAnsi="Arial" w:cs="Arial"/>
          <w:b/>
          <w:bCs/>
          <w:sz w:val="28"/>
          <w:lang w:eastAsia="ja-JP"/>
        </w:rPr>
        <w:t xml:space="preserve"> – 25</w:t>
      </w:r>
      <w:r w:rsidRPr="00F45E4B">
        <w:rPr>
          <w:rFonts w:ascii="Arial" w:hAnsi="Arial" w:cs="Arial"/>
          <w:b/>
          <w:bCs/>
          <w:sz w:val="28"/>
          <w:vertAlign w:val="superscript"/>
          <w:lang w:eastAsia="ja-JP"/>
        </w:rPr>
        <w:t>th</w:t>
      </w:r>
      <w:r>
        <w:rPr>
          <w:rFonts w:ascii="Arial" w:hAnsi="Arial" w:cs="Arial"/>
          <w:b/>
          <w:bCs/>
          <w:sz w:val="28"/>
          <w:lang w:eastAsia="ja-JP"/>
        </w:rPr>
        <w:t>, 2018</w:t>
      </w:r>
    </w:p>
    <w:p w14:paraId="6E4462CD" w14:textId="0C84D5FF" w:rsidR="00C238EE" w:rsidRPr="001A71EA" w:rsidRDefault="00EA7E07" w:rsidP="00EA7E07">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Pr>
          <w:rFonts w:ascii="Arial" w:eastAsia="맑은 고딕" w:hAnsi="Arial"/>
          <w:sz w:val="24"/>
          <w:lang w:val="en-US" w:eastAsia="ko-KR"/>
        </w:rPr>
        <w:t>7</w:t>
      </w:r>
      <w:r w:rsidRPr="003E43CC">
        <w:rPr>
          <w:rFonts w:ascii="Arial" w:eastAsia="맑은 고딕" w:hAnsi="Arial"/>
          <w:sz w:val="24"/>
          <w:lang w:val="en-US" w:eastAsia="ko-KR"/>
        </w:rPr>
        <w:t>.</w:t>
      </w:r>
      <w:r>
        <w:rPr>
          <w:rFonts w:ascii="Arial" w:eastAsia="맑은 고딕" w:hAnsi="Arial"/>
          <w:sz w:val="24"/>
          <w:lang w:val="en-US" w:eastAsia="ko-KR"/>
        </w:rPr>
        <w:t>1.5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338725DC"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A7E07" w:rsidRPr="00EA7E07">
        <w:rPr>
          <w:rFonts w:ascii="Arial" w:hAnsi="Arial"/>
          <w:sz w:val="24"/>
        </w:rPr>
        <w:t>Remaining issues for NR LTE coexistence</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2A99E6AE" w14:textId="3BC6D510" w:rsidR="00B63AB7" w:rsidRDefault="000D4A1B" w:rsidP="00B63AB7">
      <w:pPr>
        <w:ind w:left="0" w:firstLine="0"/>
        <w:rPr>
          <w:rFonts w:eastAsiaTheme="minorEastAsia"/>
          <w:b/>
          <w:i/>
          <w:lang w:eastAsia="ko-KR"/>
        </w:rPr>
      </w:pPr>
      <w:r>
        <w:rPr>
          <w:szCs w:val="22"/>
          <w:lang w:eastAsia="ko-KR"/>
        </w:rPr>
        <w:t xml:space="preserve">In this contribution, </w:t>
      </w:r>
      <w:r w:rsidR="00B53FE9">
        <w:rPr>
          <w:szCs w:val="22"/>
          <w:lang w:eastAsia="ko-KR"/>
        </w:rPr>
        <w:t>we discuss remaining issues related to LTE/NR DC (considering both case of LTE PCell and NR PCell).</w:t>
      </w:r>
    </w:p>
    <w:p w14:paraId="782DEBD9" w14:textId="258798FE" w:rsidR="009B45B8" w:rsidRDefault="00971B15" w:rsidP="00971B15">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sTTI in EN-DC</w:t>
      </w:r>
    </w:p>
    <w:p w14:paraId="03EC5388" w14:textId="31C5A304" w:rsidR="00117623" w:rsidRPr="0038769F" w:rsidRDefault="00DD5E8C" w:rsidP="00117623">
      <w:pPr>
        <w:ind w:left="0" w:firstLine="0"/>
        <w:rPr>
          <w:rFonts w:eastAsiaTheme="minorEastAsia"/>
          <w:lang w:eastAsia="ko-KR"/>
        </w:rPr>
      </w:pPr>
      <w:r>
        <w:rPr>
          <w:rFonts w:eastAsiaTheme="minorEastAsia" w:hint="eastAsia"/>
          <w:lang w:eastAsia="ko-KR"/>
        </w:rPr>
        <w:t>W</w:t>
      </w:r>
      <w:r>
        <w:rPr>
          <w:rFonts w:eastAsiaTheme="minorEastAsia"/>
          <w:lang w:eastAsia="ko-KR"/>
        </w:rPr>
        <w:t xml:space="preserve">hen a UE needs to adapt its power in NR transmission when it reaches power limited case, the information on LTE transmission should be known at the time of NR power determination for concurrent transmissions. However, when short TTI or reduced processing time operation in LTE is configured, the processing time budget becomes much smaller. If short TTI uplink transmission is scheduled after power determination on NR transmission has completed, it becomes challenging to adjust the power. </w:t>
      </w:r>
      <w:r w:rsidR="00117623">
        <w:rPr>
          <w:rFonts w:eastAsiaTheme="minorEastAsia"/>
          <w:lang w:eastAsia="ko-KR"/>
        </w:rPr>
        <w:t>Maybe, UE capability on the power sharing or new power sharing method with LTE sTTI is needed.</w:t>
      </w:r>
    </w:p>
    <w:p w14:paraId="3B390B5E" w14:textId="1A63021F" w:rsidR="00295875" w:rsidRDefault="00117623" w:rsidP="0038769F">
      <w:pPr>
        <w:ind w:left="0" w:firstLine="0"/>
        <w:rPr>
          <w:rFonts w:eastAsiaTheme="minorEastAsia"/>
          <w:lang w:val="en-US" w:eastAsia="ko-KR"/>
        </w:rPr>
      </w:pPr>
      <w:r>
        <w:rPr>
          <w:rFonts w:eastAsiaTheme="minorEastAsia" w:hint="eastAsia"/>
          <w:lang w:val="en-US" w:eastAsia="ko-KR"/>
        </w:rPr>
        <w:t xml:space="preserve">If the discussion </w:t>
      </w:r>
      <w:r>
        <w:rPr>
          <w:rFonts w:eastAsiaTheme="minorEastAsia"/>
          <w:lang w:val="en-US" w:eastAsia="ko-KR"/>
        </w:rPr>
        <w:t xml:space="preserve">on dynamic power sharing between LTE sTTI and NR </w:t>
      </w:r>
      <w:r>
        <w:rPr>
          <w:rFonts w:eastAsiaTheme="minorEastAsia" w:hint="eastAsia"/>
          <w:lang w:val="en-US" w:eastAsia="ko-KR"/>
        </w:rPr>
        <w:t>would not be finished on time</w:t>
      </w:r>
      <w:r w:rsidR="00A202D8">
        <w:rPr>
          <w:rFonts w:eastAsiaTheme="minorEastAsia"/>
          <w:lang w:val="en-US" w:eastAsia="ko-KR"/>
        </w:rPr>
        <w:t xml:space="preserve"> in Rel.15</w:t>
      </w:r>
      <w:r>
        <w:rPr>
          <w:rFonts w:eastAsiaTheme="minorEastAsia"/>
          <w:lang w:val="en-US" w:eastAsia="ko-KR"/>
        </w:rPr>
        <w:t>, we can assume only semi static power sharing. If only semi static power sharing is assumed, case 1 is mandatory f</w:t>
      </w:r>
      <w:r w:rsidR="00A202D8">
        <w:rPr>
          <w:rFonts w:eastAsiaTheme="minorEastAsia"/>
          <w:lang w:val="en-US" w:eastAsia="ko-KR"/>
        </w:rPr>
        <w:t xml:space="preserve">or UEs with sTTI configuration. If case 1 is configured, FDD-TDD CA HARQ timing is reused for LTE scheduling/HARQ timing. In Rel.15, sTTI scheduling/HARQ timing in TDD has been specified for only 7OS sTTI, but CA HARQ timing has not been specified yet. </w:t>
      </w:r>
    </w:p>
    <w:p w14:paraId="63551E80" w14:textId="1996A77D" w:rsidR="00A202D8" w:rsidRDefault="00A202D8" w:rsidP="0038769F">
      <w:pPr>
        <w:ind w:left="0" w:firstLine="0"/>
        <w:rPr>
          <w:rFonts w:eastAsiaTheme="minorEastAsia"/>
          <w:lang w:val="en-US" w:eastAsia="ko-KR"/>
        </w:rPr>
      </w:pPr>
      <w:r>
        <w:rPr>
          <w:rFonts w:eastAsiaTheme="minorEastAsia"/>
          <w:lang w:val="en-US" w:eastAsia="ko-KR"/>
        </w:rPr>
        <w:t>In a current situation, we need to decide whether LTE sTTI is supportable or not for EN-DC</w:t>
      </w:r>
      <w:r w:rsidR="00426B3B">
        <w:rPr>
          <w:rFonts w:eastAsiaTheme="minorEastAsia"/>
          <w:lang w:val="en-US" w:eastAsia="ko-KR"/>
        </w:rPr>
        <w:t xml:space="preserve"> UEs</w:t>
      </w:r>
      <w:r>
        <w:rPr>
          <w:rFonts w:eastAsiaTheme="minorEastAsia"/>
          <w:lang w:val="en-US" w:eastAsia="ko-KR"/>
        </w:rPr>
        <w:t>, and if supported, which scheduling/HARQ timing is reused or designed.</w:t>
      </w:r>
      <w:r w:rsidR="0084663E">
        <w:rPr>
          <w:rFonts w:eastAsiaTheme="minorEastAsia"/>
          <w:lang w:val="en-US" w:eastAsia="ko-KR"/>
        </w:rPr>
        <w:t xml:space="preserve"> Given short time in Rel-15, it is our proposal to assume that LTE sTTI cannot be configured with dynamic power sharing in LTE-NR DC scenario with LTE PCell. </w:t>
      </w:r>
    </w:p>
    <w:p w14:paraId="6678AF42" w14:textId="4A75BB60" w:rsidR="0084663E" w:rsidRDefault="00426B3B" w:rsidP="0084663E">
      <w:pPr>
        <w:ind w:left="0" w:firstLine="0"/>
        <w:rPr>
          <w:b/>
          <w:bCs/>
          <w:i/>
          <w:iCs/>
          <w:lang w:eastAsia="ko-KR"/>
        </w:rPr>
      </w:pPr>
      <w:r>
        <w:rPr>
          <w:rFonts w:eastAsiaTheme="minorEastAsia"/>
          <w:b/>
          <w:i/>
          <w:lang w:eastAsia="ko-KR"/>
        </w:rPr>
        <w:t xml:space="preserve">Proposal </w:t>
      </w:r>
      <w:r w:rsidR="00EA7E07">
        <w:rPr>
          <w:rFonts w:eastAsiaTheme="minorEastAsia"/>
          <w:b/>
          <w:i/>
          <w:lang w:eastAsia="ko-KR"/>
        </w:rPr>
        <w:t>1</w:t>
      </w:r>
      <w:r w:rsidR="00A202D8" w:rsidRPr="00F1061E">
        <w:rPr>
          <w:rFonts w:eastAsiaTheme="minorEastAsia"/>
          <w:b/>
          <w:i/>
          <w:lang w:eastAsia="ko-KR"/>
        </w:rPr>
        <w:t xml:space="preserve">: </w:t>
      </w:r>
      <w:r w:rsidR="00204373">
        <w:rPr>
          <w:b/>
          <w:bCs/>
          <w:i/>
          <w:iCs/>
          <w:lang w:eastAsia="ko-KR"/>
        </w:rPr>
        <w:t>If sTTI is configured, even though a UE supports dynamic power sharing capability, it is assumed that semi-static power sharing based Case-1 is used.</w:t>
      </w:r>
      <w:r w:rsidR="0084663E">
        <w:rPr>
          <w:b/>
          <w:bCs/>
          <w:i/>
          <w:iCs/>
          <w:lang w:eastAsia="ko-KR"/>
        </w:rPr>
        <w:t xml:space="preserve"> </w:t>
      </w:r>
      <w:r w:rsidR="0084663E" w:rsidRPr="0084663E">
        <w:rPr>
          <w:b/>
          <w:bCs/>
          <w:i/>
          <w:iCs/>
          <w:lang w:eastAsia="ko-KR"/>
        </w:rPr>
        <w:t xml:space="preserve">With Case 1, </w:t>
      </w:r>
      <w:r w:rsidR="00204373">
        <w:rPr>
          <w:b/>
          <w:bCs/>
          <w:i/>
          <w:iCs/>
          <w:lang w:eastAsia="ko-KR"/>
        </w:rPr>
        <w:t>sTTI uplink transmissions are allowed only in UL subframes by reference DL/UL configuration</w:t>
      </w:r>
      <w:r w:rsidR="00845646">
        <w:rPr>
          <w:b/>
          <w:bCs/>
          <w:i/>
          <w:iCs/>
          <w:lang w:eastAsia="ko-KR"/>
        </w:rPr>
        <w:t>.</w:t>
      </w:r>
    </w:p>
    <w:p w14:paraId="7F77B22C" w14:textId="63768296" w:rsidR="009160A1" w:rsidRPr="009160A1" w:rsidRDefault="009160A1" w:rsidP="00B53FE9">
      <w:pPr>
        <w:pStyle w:val="ad"/>
        <w:numPr>
          <w:ilvl w:val="0"/>
          <w:numId w:val="2"/>
        </w:numPr>
        <w:ind w:leftChars="0"/>
        <w:rPr>
          <w:b/>
          <w:bCs/>
          <w:i/>
          <w:iCs/>
        </w:rPr>
      </w:pPr>
      <w:r>
        <w:rPr>
          <w:rFonts w:ascii="Arial" w:hAnsi="Arial" w:cs="Arial"/>
          <w:b/>
          <w:bCs/>
          <w:iCs/>
          <w:sz w:val="28"/>
          <w:szCs w:val="28"/>
        </w:rPr>
        <w:t>Power sharing for NR-LTE DC</w:t>
      </w:r>
    </w:p>
    <w:p w14:paraId="547CAA5A" w14:textId="08F81940" w:rsidR="009160A1" w:rsidRDefault="00804230" w:rsidP="009160A1">
      <w:pPr>
        <w:ind w:left="0" w:firstLine="0"/>
        <w:rPr>
          <w:bCs/>
          <w:iCs/>
        </w:rPr>
      </w:pPr>
      <w:r>
        <w:rPr>
          <w:rFonts w:hint="cs"/>
          <w:bCs/>
          <w:iCs/>
        </w:rPr>
        <w:t xml:space="preserve">For LTE-NR DC, dynamic power sharing and semi-static power sharing are supported. </w:t>
      </w:r>
      <w:r>
        <w:rPr>
          <w:bCs/>
          <w:iCs/>
        </w:rPr>
        <w:t xml:space="preserve">In dynamic power sharing, when a UE reaches its maximum power, power scaling occurs at NR side instead of LTE side. It has two benefits. First, as LTE is PCell, it </w:t>
      </w:r>
      <w:r w:rsidR="00845646">
        <w:rPr>
          <w:bCs/>
          <w:iCs/>
        </w:rPr>
        <w:t>minimize the impact on</w:t>
      </w:r>
      <w:r>
        <w:rPr>
          <w:bCs/>
          <w:iCs/>
        </w:rPr>
        <w:t xml:space="preserve"> the coverage of PCell. Secondly, the approach is more feasible from UE processing perspective where LTE processing time (e.g., 4msec) is generally larger than NR processing time. </w:t>
      </w:r>
      <w:r w:rsidR="00845646">
        <w:rPr>
          <w:bCs/>
          <w:iCs/>
        </w:rPr>
        <w:t xml:space="preserve">Thus, from NR perspective, power scaling in consideration of LTE scheduling is feasible. </w:t>
      </w:r>
      <w:r>
        <w:rPr>
          <w:bCs/>
          <w:iCs/>
        </w:rPr>
        <w:t xml:space="preserve">For the case of NR-LTE DC where NR is PCell, it is still important to keep PCell coverage intact. Thus, it can be considered to reduce UE power on LTE side instead of </w:t>
      </w:r>
      <w:r>
        <w:rPr>
          <w:bCs/>
          <w:iCs/>
        </w:rPr>
        <w:lastRenderedPageBreak/>
        <w:t xml:space="preserve">NR side. Yet, this can lead very tight processing time at LTE side as NR processing time is shorter. </w:t>
      </w:r>
      <w:r w:rsidR="00F53523">
        <w:rPr>
          <w:bCs/>
          <w:iCs/>
        </w:rPr>
        <w:fldChar w:fldCharType="begin"/>
      </w:r>
      <w:r w:rsidR="00F53523">
        <w:rPr>
          <w:bCs/>
          <w:iCs/>
        </w:rPr>
        <w:instrText xml:space="preserve"> REF _Ref510715381 \h </w:instrText>
      </w:r>
      <w:r w:rsidR="00F53523">
        <w:rPr>
          <w:bCs/>
          <w:iCs/>
        </w:rPr>
      </w:r>
      <w:r w:rsidR="00F53523">
        <w:rPr>
          <w:bCs/>
          <w:iCs/>
        </w:rPr>
        <w:fldChar w:fldCharType="separate"/>
      </w:r>
      <w:r w:rsidR="00F53523" w:rsidRPr="00F53523">
        <w:t xml:space="preserve">Figure </w:t>
      </w:r>
      <w:r w:rsidR="00F53523" w:rsidRPr="00F53523">
        <w:rPr>
          <w:noProof/>
        </w:rPr>
        <w:t>1</w:t>
      </w:r>
      <w:r w:rsidR="00F53523">
        <w:rPr>
          <w:bCs/>
          <w:iCs/>
        </w:rPr>
        <w:fldChar w:fldCharType="end"/>
      </w:r>
      <w:r w:rsidR="00F53523">
        <w:rPr>
          <w:bCs/>
          <w:iCs/>
        </w:rPr>
        <w:t xml:space="preserve">. </w:t>
      </w:r>
      <w:r>
        <w:rPr>
          <w:bCs/>
          <w:iCs/>
        </w:rPr>
        <w:t xml:space="preserve">illustrates the issue. </w:t>
      </w:r>
    </w:p>
    <w:p w14:paraId="51EFECDC" w14:textId="4EAA5D7A" w:rsidR="00845646" w:rsidRDefault="00845646" w:rsidP="00286F0C">
      <w:pPr>
        <w:pStyle w:val="af"/>
        <w:jc w:val="center"/>
      </w:pPr>
      <w:bookmarkStart w:id="3" w:name="_Ref510715381"/>
      <w:r w:rsidRPr="00845646">
        <w:rPr>
          <w:noProof/>
          <w:lang w:val="en-US" w:eastAsia="ko-KR"/>
        </w:rPr>
        <w:drawing>
          <wp:inline distT="0" distB="0" distL="0" distR="0" wp14:anchorId="533F8169" wp14:editId="0D45ED39">
            <wp:extent cx="6120130" cy="222239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2222397"/>
                    </a:xfrm>
                    <a:prstGeom prst="rect">
                      <a:avLst/>
                    </a:prstGeom>
                    <a:noFill/>
                    <a:ln>
                      <a:noFill/>
                    </a:ln>
                  </pic:spPr>
                </pic:pic>
              </a:graphicData>
            </a:graphic>
          </wp:inline>
        </w:drawing>
      </w:r>
    </w:p>
    <w:p w14:paraId="2E01EAA7" w14:textId="7C5E8464" w:rsidR="00804230" w:rsidRPr="00F53523" w:rsidRDefault="00F53523" w:rsidP="00286F0C">
      <w:pPr>
        <w:pStyle w:val="af"/>
        <w:jc w:val="center"/>
        <w:rPr>
          <w:bCs/>
          <w:iCs/>
          <w:sz w:val="20"/>
        </w:rPr>
      </w:pPr>
      <w:r w:rsidRPr="00F53523">
        <w:rPr>
          <w:sz w:val="20"/>
        </w:rPr>
        <w:t xml:space="preserve">Figure </w:t>
      </w:r>
      <w:r w:rsidRPr="00F53523">
        <w:rPr>
          <w:sz w:val="20"/>
        </w:rPr>
        <w:fldChar w:fldCharType="begin"/>
      </w:r>
      <w:r w:rsidRPr="00F53523">
        <w:rPr>
          <w:sz w:val="20"/>
        </w:rPr>
        <w:instrText xml:space="preserve"> SEQ Figure \* ARABIC </w:instrText>
      </w:r>
      <w:r w:rsidRPr="00F53523">
        <w:rPr>
          <w:sz w:val="20"/>
        </w:rPr>
        <w:fldChar w:fldCharType="separate"/>
      </w:r>
      <w:r w:rsidRPr="00F53523">
        <w:rPr>
          <w:noProof/>
          <w:sz w:val="20"/>
        </w:rPr>
        <w:t>1</w:t>
      </w:r>
      <w:r w:rsidRPr="00F53523">
        <w:rPr>
          <w:sz w:val="20"/>
        </w:rPr>
        <w:fldChar w:fldCharType="end"/>
      </w:r>
      <w:bookmarkEnd w:id="3"/>
      <w:r w:rsidRPr="00F53523">
        <w:rPr>
          <w:sz w:val="20"/>
        </w:rPr>
        <w:t>. Illustration of SCG power scaling in NR-LTE DC</w:t>
      </w:r>
    </w:p>
    <w:p w14:paraId="3323CC67" w14:textId="5CC1CDF2" w:rsidR="00804230" w:rsidRDefault="000D31F9" w:rsidP="009160A1">
      <w:pPr>
        <w:ind w:left="0" w:firstLine="0"/>
        <w:rPr>
          <w:bCs/>
          <w:iCs/>
        </w:rPr>
      </w:pPr>
      <w:r>
        <w:rPr>
          <w:bCs/>
          <w:iCs/>
        </w:rPr>
        <w:t>Not to impact on UE processing time on LTE side</w:t>
      </w:r>
      <w:r w:rsidR="00804230">
        <w:rPr>
          <w:bCs/>
          <w:iCs/>
        </w:rPr>
        <w:t>, we can consider the following options in case of dynamic power sharing between NR and LTE.</w:t>
      </w:r>
    </w:p>
    <w:p w14:paraId="20E5CDCD" w14:textId="3D231551" w:rsidR="00804230" w:rsidRPr="00804230" w:rsidRDefault="00804230" w:rsidP="00804230">
      <w:pPr>
        <w:pStyle w:val="ad"/>
        <w:numPr>
          <w:ilvl w:val="0"/>
          <w:numId w:val="34"/>
        </w:numPr>
        <w:ind w:leftChars="0"/>
        <w:rPr>
          <w:rFonts w:ascii="Times New Roman" w:hAnsi="Times New Roman" w:cs="Times New Roman"/>
          <w:bCs/>
          <w:iCs/>
        </w:rPr>
      </w:pPr>
      <w:r w:rsidRPr="00804230">
        <w:rPr>
          <w:rFonts w:ascii="Times New Roman" w:hAnsi="Times New Roman" w:cs="Times New Roman"/>
          <w:bCs/>
          <w:iCs/>
        </w:rPr>
        <w:t xml:space="preserve">Same as LTE-NR DC, power scaling occurs at NR side only without affecting LTE side. </w:t>
      </w:r>
      <w:r>
        <w:rPr>
          <w:rFonts w:ascii="Times New Roman" w:hAnsi="Times New Roman" w:cs="Times New Roman"/>
          <w:bCs/>
          <w:iCs/>
        </w:rPr>
        <w:t>The main drawback of this approach is that the coverage of PCell may not be guaranteed.</w:t>
      </w:r>
    </w:p>
    <w:p w14:paraId="1FC072C5" w14:textId="31055E8B" w:rsidR="00804230" w:rsidRDefault="00453B06" w:rsidP="00804230">
      <w:pPr>
        <w:pStyle w:val="ad"/>
        <w:numPr>
          <w:ilvl w:val="0"/>
          <w:numId w:val="34"/>
        </w:numPr>
        <w:ind w:leftChars="0"/>
        <w:rPr>
          <w:rFonts w:ascii="Times New Roman" w:hAnsi="Times New Roman" w:cs="Times New Roman"/>
          <w:bCs/>
          <w:iCs/>
        </w:rPr>
      </w:pPr>
      <w:r>
        <w:rPr>
          <w:rFonts w:ascii="Times New Roman" w:hAnsi="Times New Roman" w:cs="Times New Roman"/>
          <w:bCs/>
          <w:iCs/>
        </w:rPr>
        <w:t xml:space="preserve">Power scaling occurs at LTE side assuming NR would not schedule any PUSCH/PUCCH </w:t>
      </w:r>
      <w:r w:rsidR="000D31F9">
        <w:rPr>
          <w:rFonts w:ascii="Times New Roman" w:hAnsi="Times New Roman" w:cs="Times New Roman"/>
          <w:bCs/>
          <w:iCs/>
        </w:rPr>
        <w:t>with</w:t>
      </w:r>
      <w:r>
        <w:rPr>
          <w:rFonts w:ascii="Times New Roman" w:hAnsi="Times New Roman" w:cs="Times New Roman"/>
          <w:bCs/>
          <w:iCs/>
        </w:rPr>
        <w:t xml:space="preserve"> shorter processing than LTE. In other words, </w:t>
      </w:r>
      <w:r w:rsidR="000D31F9">
        <w:rPr>
          <w:rFonts w:ascii="Times New Roman" w:hAnsi="Times New Roman" w:cs="Times New Roman"/>
          <w:bCs/>
          <w:iCs/>
        </w:rPr>
        <w:t xml:space="preserve">the network ensures scheduling NR side PUSCH/PUCCH in advance (e.g., more than or equal to 4msec before) such that a UE can scale power at LTE side without tighter processing time. </w:t>
      </w:r>
    </w:p>
    <w:p w14:paraId="321A6A11" w14:textId="14E302E4" w:rsidR="00453B06" w:rsidRDefault="00453B06" w:rsidP="000D31F9">
      <w:pPr>
        <w:pStyle w:val="ad"/>
        <w:numPr>
          <w:ilvl w:val="0"/>
          <w:numId w:val="34"/>
        </w:numPr>
        <w:ind w:leftChars="0"/>
        <w:rPr>
          <w:rFonts w:ascii="Times New Roman" w:hAnsi="Times New Roman" w:cs="Times New Roman"/>
          <w:bCs/>
          <w:iCs/>
        </w:rPr>
      </w:pPr>
      <w:r>
        <w:rPr>
          <w:rFonts w:ascii="Times New Roman" w:hAnsi="Times New Roman" w:cs="Times New Roman"/>
          <w:bCs/>
          <w:iCs/>
        </w:rPr>
        <w:t xml:space="preserve">Power scaling occurs at ‘later’ scheduled uplink transmission regardless of NR or LTE. In other words, ‘earlier’ scheduled transmission has higher priority. </w:t>
      </w:r>
      <w:r w:rsidR="000D31F9">
        <w:rPr>
          <w:rFonts w:ascii="Times New Roman" w:hAnsi="Times New Roman" w:cs="Times New Roman"/>
          <w:bCs/>
          <w:iCs/>
        </w:rPr>
        <w:t xml:space="preserve">For example, in </w:t>
      </w:r>
      <w:r w:rsidR="000D31F9" w:rsidRPr="000D31F9">
        <w:rPr>
          <w:rFonts w:ascii="Times New Roman" w:hAnsi="Times New Roman" w:cs="Times New Roman"/>
          <w:bCs/>
          <w:iCs/>
        </w:rPr>
        <w:t>Figure 1</w:t>
      </w:r>
      <w:r w:rsidR="000D31F9">
        <w:rPr>
          <w:rFonts w:ascii="Times New Roman" w:hAnsi="Times New Roman" w:cs="Times New Roman"/>
          <w:bCs/>
          <w:iCs/>
        </w:rPr>
        <w:t xml:space="preserve">, as LTE schedules the colliding UL before, LTE transmission is protected. </w:t>
      </w:r>
      <w:r>
        <w:rPr>
          <w:rFonts w:ascii="Times New Roman" w:hAnsi="Times New Roman" w:cs="Times New Roman"/>
          <w:bCs/>
          <w:iCs/>
        </w:rPr>
        <w:t xml:space="preserve">This is to ensure a UE is not required to </w:t>
      </w:r>
      <w:r w:rsidR="00C278FD">
        <w:rPr>
          <w:rFonts w:ascii="Times New Roman" w:hAnsi="Times New Roman" w:cs="Times New Roman"/>
          <w:bCs/>
          <w:iCs/>
        </w:rPr>
        <w:t xml:space="preserve">support tighter processing time budget for dynamic power sharing. </w:t>
      </w:r>
    </w:p>
    <w:p w14:paraId="3ED61659" w14:textId="19E24A1F" w:rsidR="00453B06" w:rsidRPr="00C278FD" w:rsidRDefault="00C278FD" w:rsidP="00453B06">
      <w:pPr>
        <w:ind w:left="0" w:firstLine="0"/>
        <w:rPr>
          <w:rFonts w:eastAsiaTheme="minorEastAsia"/>
          <w:b/>
          <w:i/>
          <w:lang w:eastAsia="ko-KR"/>
        </w:rPr>
      </w:pPr>
      <w:r>
        <w:rPr>
          <w:rFonts w:eastAsiaTheme="minorEastAsia"/>
          <w:b/>
          <w:i/>
          <w:lang w:eastAsia="ko-KR"/>
        </w:rPr>
        <w:t xml:space="preserve">Proposal </w:t>
      </w:r>
      <w:r w:rsidR="00EA7E07">
        <w:rPr>
          <w:rFonts w:eastAsiaTheme="minorEastAsia"/>
          <w:b/>
          <w:i/>
          <w:lang w:eastAsia="ko-KR"/>
        </w:rPr>
        <w:t>2:</w:t>
      </w:r>
      <w:r>
        <w:rPr>
          <w:rFonts w:eastAsiaTheme="minorEastAsia"/>
          <w:b/>
          <w:i/>
          <w:lang w:eastAsia="ko-KR"/>
        </w:rPr>
        <w:t xml:space="preserve"> Considering processing time constraints and coverage, further discussion on NR-LTE DC power control for dynamic power sharing is necessary. </w:t>
      </w:r>
      <w:r>
        <w:rPr>
          <w:rFonts w:eastAsiaTheme="minorEastAsia" w:hint="eastAsia"/>
          <w:b/>
          <w:i/>
          <w:lang w:eastAsia="ko-KR"/>
        </w:rPr>
        <w:t>I</w:t>
      </w:r>
      <w:r>
        <w:rPr>
          <w:rFonts w:eastAsiaTheme="minorEastAsia"/>
          <w:b/>
          <w:i/>
          <w:lang w:eastAsia="ko-KR"/>
        </w:rPr>
        <w:t xml:space="preserve">t is assumed that a UE is not required to support tighter processing time budget to support dynamic power sharing. </w:t>
      </w:r>
      <w:r>
        <w:rPr>
          <w:rFonts w:eastAsiaTheme="minorEastAsia" w:hint="eastAsia"/>
          <w:bCs/>
          <w:iCs/>
          <w:lang w:eastAsia="ko-KR"/>
        </w:rPr>
        <w:t xml:space="preserve"> </w:t>
      </w:r>
    </w:p>
    <w:p w14:paraId="26BBF452" w14:textId="49068B1A" w:rsidR="00E53649" w:rsidRDefault="00E53649" w:rsidP="00E53649">
      <w:pPr>
        <w:pStyle w:val="1"/>
        <w:numPr>
          <w:ilvl w:val="0"/>
          <w:numId w:val="2"/>
        </w:numPr>
        <w:rPr>
          <w:rFonts w:eastAsia="바탕"/>
          <w:b/>
          <w:lang w:eastAsia="ko-KR"/>
        </w:rPr>
      </w:pPr>
      <w:r>
        <w:rPr>
          <w:rFonts w:eastAsia="바탕"/>
          <w:b/>
          <w:lang w:eastAsia="ko-KR"/>
        </w:rPr>
        <w:t>Conclusion</w:t>
      </w:r>
    </w:p>
    <w:p w14:paraId="1D4885D1" w14:textId="0798033B" w:rsidR="0084663E" w:rsidRDefault="00EA7E07" w:rsidP="0084663E">
      <w:pPr>
        <w:ind w:left="0" w:firstLine="0"/>
        <w:rPr>
          <w:b/>
          <w:bCs/>
          <w:i/>
          <w:iCs/>
          <w:lang w:eastAsia="ko-KR"/>
        </w:rPr>
      </w:pPr>
      <w:r>
        <w:rPr>
          <w:rFonts w:eastAsiaTheme="minorEastAsia"/>
          <w:b/>
          <w:i/>
          <w:lang w:eastAsia="ko-KR"/>
        </w:rPr>
        <w:t>Proposal 1</w:t>
      </w:r>
      <w:r w:rsidR="0084663E" w:rsidRPr="00F1061E">
        <w:rPr>
          <w:rFonts w:eastAsiaTheme="minorEastAsia"/>
          <w:b/>
          <w:i/>
          <w:lang w:eastAsia="ko-KR"/>
        </w:rPr>
        <w:t xml:space="preserve">: </w:t>
      </w:r>
      <w:r w:rsidR="0084663E">
        <w:rPr>
          <w:b/>
          <w:bCs/>
          <w:i/>
          <w:iCs/>
          <w:lang w:eastAsia="ko-KR"/>
        </w:rPr>
        <w:t xml:space="preserve">If sTTI is configured, even though a UE supports dynamic power sharing capability, it is assumed that semi-static power sharing based Case-1 is used. </w:t>
      </w:r>
      <w:r w:rsidR="0084663E" w:rsidRPr="0084663E">
        <w:rPr>
          <w:b/>
          <w:bCs/>
          <w:i/>
          <w:iCs/>
          <w:lang w:eastAsia="ko-KR"/>
        </w:rPr>
        <w:t xml:space="preserve">With Case 1, </w:t>
      </w:r>
      <w:r w:rsidR="0084663E">
        <w:rPr>
          <w:b/>
          <w:bCs/>
          <w:i/>
          <w:iCs/>
          <w:lang w:eastAsia="ko-KR"/>
        </w:rPr>
        <w:t>sTTI uplink transmissions are allowed only in UL subframes by reference DL/UL configuration.</w:t>
      </w:r>
    </w:p>
    <w:p w14:paraId="47E7E8D8" w14:textId="21A23B4D" w:rsidR="0084663E" w:rsidRPr="0084663E" w:rsidRDefault="0084663E" w:rsidP="0084663E">
      <w:pPr>
        <w:ind w:left="0" w:firstLine="0"/>
        <w:rPr>
          <w:b/>
          <w:bCs/>
          <w:i/>
          <w:iCs/>
          <w:lang w:eastAsia="ko-KR"/>
        </w:rPr>
      </w:pPr>
      <w:r>
        <w:rPr>
          <w:rFonts w:eastAsiaTheme="minorEastAsia"/>
          <w:b/>
          <w:i/>
          <w:lang w:eastAsia="ko-KR"/>
        </w:rPr>
        <w:t xml:space="preserve">Proposal </w:t>
      </w:r>
      <w:r w:rsidR="00EA7E07">
        <w:rPr>
          <w:rFonts w:eastAsiaTheme="minorEastAsia"/>
          <w:b/>
          <w:i/>
          <w:lang w:eastAsia="ko-KR"/>
        </w:rPr>
        <w:t>2:</w:t>
      </w:r>
      <w:r>
        <w:rPr>
          <w:rFonts w:eastAsiaTheme="minorEastAsia"/>
          <w:b/>
          <w:i/>
          <w:lang w:eastAsia="ko-KR"/>
        </w:rPr>
        <w:t xml:space="preserve"> Considering processing time constraints and coverage, further discussion on NR-LTE DC power control for dynamic power sharing is necessary. </w:t>
      </w:r>
      <w:r>
        <w:rPr>
          <w:rFonts w:eastAsiaTheme="minorEastAsia" w:hint="eastAsia"/>
          <w:b/>
          <w:i/>
          <w:lang w:eastAsia="ko-KR"/>
        </w:rPr>
        <w:t>I</w:t>
      </w:r>
      <w:r>
        <w:rPr>
          <w:rFonts w:eastAsiaTheme="minorEastAsia"/>
          <w:b/>
          <w:i/>
          <w:lang w:eastAsia="ko-KR"/>
        </w:rPr>
        <w:t xml:space="preserve">t is assumed that a UE is not required to support tighter processing time budget to support dynamic power sharing. </w:t>
      </w:r>
      <w:r>
        <w:rPr>
          <w:rFonts w:eastAsiaTheme="minorEastAsia" w:hint="eastAsia"/>
          <w:bCs/>
          <w:iCs/>
          <w:lang w:eastAsia="ko-KR"/>
        </w:rPr>
        <w:t xml:space="preserve"> </w:t>
      </w:r>
      <w:bookmarkStart w:id="4" w:name="_GoBack"/>
      <w:bookmarkEnd w:id="4"/>
    </w:p>
    <w:p w14:paraId="60E7CEC1" w14:textId="77777777" w:rsidR="00B31EB0" w:rsidRPr="0084663E" w:rsidRDefault="00B31EB0" w:rsidP="00B31EB0">
      <w:pPr>
        <w:rPr>
          <w:rFonts w:eastAsiaTheme="minorEastAsia"/>
          <w:lang w:eastAsia="ko-KR"/>
        </w:rPr>
      </w:pPr>
    </w:p>
    <w:sectPr w:rsidR="00B31EB0" w:rsidRPr="0084663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71C1A" w14:textId="77777777" w:rsidR="0010431F" w:rsidRDefault="0010431F" w:rsidP="00CB15B0">
      <w:pPr>
        <w:spacing w:before="0" w:after="0" w:line="240" w:lineRule="auto"/>
      </w:pPr>
      <w:r>
        <w:separator/>
      </w:r>
    </w:p>
  </w:endnote>
  <w:endnote w:type="continuationSeparator" w:id="0">
    <w:p w14:paraId="6466FED3" w14:textId="77777777" w:rsidR="0010431F" w:rsidRDefault="0010431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E2650" w14:textId="77777777" w:rsidR="0010431F" w:rsidRDefault="0010431F" w:rsidP="00CB15B0">
      <w:pPr>
        <w:spacing w:before="0" w:after="0" w:line="240" w:lineRule="auto"/>
      </w:pPr>
      <w:r>
        <w:separator/>
      </w:r>
    </w:p>
  </w:footnote>
  <w:footnote w:type="continuationSeparator" w:id="0">
    <w:p w14:paraId="76964F48" w14:textId="77777777" w:rsidR="0010431F" w:rsidRDefault="0010431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53B3830"/>
    <w:multiLevelType w:val="hybridMultilevel"/>
    <w:tmpl w:val="0BD66702"/>
    <w:lvl w:ilvl="0" w:tplc="4DB0F182">
      <w:start w:val="1"/>
      <w:numFmt w:val="upperLetter"/>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7DF4611"/>
    <w:multiLevelType w:val="hybridMultilevel"/>
    <w:tmpl w:val="C60EAC2A"/>
    <w:lvl w:ilvl="0" w:tplc="44D4E802">
      <w:start w:val="1"/>
      <w:numFmt w:val="decimal"/>
      <w:lvlText w:val="%1."/>
      <w:lvlJc w:val="left"/>
      <w:pPr>
        <w:ind w:left="400" w:hanging="400"/>
      </w:pPr>
      <w:rPr>
        <w:rFonts w:ascii="Arial" w:hAnsi="Arial" w:cs="Arial" w:hint="default"/>
        <w:i w:val="0"/>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9">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844D8C"/>
    <w:multiLevelType w:val="hybridMultilevel"/>
    <w:tmpl w:val="ABBA9AA8"/>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2">
    <w:nsid w:val="53FF28BB"/>
    <w:multiLevelType w:val="hybridMultilevel"/>
    <w:tmpl w:val="29B429C8"/>
    <w:lvl w:ilvl="0" w:tplc="3404D004">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F1912B1"/>
    <w:multiLevelType w:val="hybridMultilevel"/>
    <w:tmpl w:val="908E4286"/>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03B1B"/>
    <w:multiLevelType w:val="hybridMultilevel"/>
    <w:tmpl w:val="C038C276"/>
    <w:lvl w:ilvl="0" w:tplc="63E81A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A6443C2"/>
    <w:multiLevelType w:val="hybridMultilevel"/>
    <w:tmpl w:val="125826F0"/>
    <w:lvl w:ilvl="0" w:tplc="9CE0BCB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0">
    <w:nsid w:val="703157D4"/>
    <w:multiLevelType w:val="multilevel"/>
    <w:tmpl w:val="84A2AD84"/>
    <w:lvl w:ilvl="0">
      <w:start w:val="1"/>
      <w:numFmt w:val="decimal"/>
      <w:lvlText w:val="%1."/>
      <w:lvlJc w:val="left"/>
      <w:pPr>
        <w:tabs>
          <w:tab w:val="num" w:pos="425"/>
        </w:tabs>
        <w:ind w:left="425" w:hanging="425"/>
      </w:pPr>
      <w:rPr>
        <w:rFonts w:ascii="Arial" w:hAnsi="Arial" w:cs="Arial" w:hint="default"/>
        <w:i w:val="0"/>
        <w:sz w:val="28"/>
        <w:szCs w:val="28"/>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F570AC3"/>
    <w:multiLevelType w:val="hybridMultilevel"/>
    <w:tmpl w:val="922AD01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0"/>
  </w:num>
  <w:num w:numId="2">
    <w:abstractNumId w:val="30"/>
  </w:num>
  <w:num w:numId="3">
    <w:abstractNumId w:val="0"/>
  </w:num>
  <w:num w:numId="4">
    <w:abstractNumId w:val="15"/>
  </w:num>
  <w:num w:numId="5">
    <w:abstractNumId w:val="11"/>
  </w:num>
  <w:num w:numId="6">
    <w:abstractNumId w:val="31"/>
  </w:num>
  <w:num w:numId="7">
    <w:abstractNumId w:val="8"/>
  </w:num>
  <w:num w:numId="8">
    <w:abstractNumId w:val="10"/>
  </w:num>
  <w:num w:numId="9">
    <w:abstractNumId w:val="1"/>
  </w:num>
  <w:num w:numId="10">
    <w:abstractNumId w:val="2"/>
  </w:num>
  <w:num w:numId="11">
    <w:abstractNumId w:val="4"/>
  </w:num>
  <w:num w:numId="12">
    <w:abstractNumId w:val="6"/>
  </w:num>
  <w:num w:numId="13">
    <w:abstractNumId w:val="16"/>
  </w:num>
  <w:num w:numId="14">
    <w:abstractNumId w:val="19"/>
  </w:num>
  <w:num w:numId="15">
    <w:abstractNumId w:val="9"/>
  </w:num>
  <w:num w:numId="16">
    <w:abstractNumId w:val="23"/>
  </w:num>
  <w:num w:numId="17">
    <w:abstractNumId w:val="13"/>
  </w:num>
  <w:num w:numId="18">
    <w:abstractNumId w:val="29"/>
  </w:num>
  <w:num w:numId="19">
    <w:abstractNumId w:val="14"/>
  </w:num>
  <w:num w:numId="20">
    <w:abstractNumId w:val="17"/>
  </w:num>
  <w:num w:numId="21">
    <w:abstractNumId w:val="3"/>
  </w:num>
  <w:num w:numId="22">
    <w:abstractNumId w:val="25"/>
  </w:num>
  <w:num w:numId="23">
    <w:abstractNumId w:val="28"/>
  </w:num>
  <w:num w:numId="24">
    <w:abstractNumId w:val="20"/>
  </w:num>
  <w:num w:numId="25">
    <w:abstractNumId w:val="18"/>
  </w:num>
  <w:num w:numId="26">
    <w:abstractNumId w:val="27"/>
  </w:num>
  <w:num w:numId="27">
    <w:abstractNumId w:val="7"/>
  </w:num>
  <w:num w:numId="28">
    <w:abstractNumId w:val="21"/>
  </w:num>
  <w:num w:numId="29">
    <w:abstractNumId w:val="32"/>
  </w:num>
  <w:num w:numId="30">
    <w:abstractNumId w:val="22"/>
  </w:num>
  <w:num w:numId="31">
    <w:abstractNumId w:val="24"/>
  </w:num>
  <w:num w:numId="32">
    <w:abstractNumId w:val="12"/>
  </w:num>
  <w:num w:numId="33">
    <w:abstractNumId w:val="5"/>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E4B"/>
    <w:rsid w:val="00014F85"/>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38"/>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1F9"/>
    <w:rsid w:val="000D41C2"/>
    <w:rsid w:val="000D41C4"/>
    <w:rsid w:val="000D4A1B"/>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31F"/>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623"/>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67"/>
    <w:rsid w:val="001953E5"/>
    <w:rsid w:val="00195514"/>
    <w:rsid w:val="00196738"/>
    <w:rsid w:val="001968BD"/>
    <w:rsid w:val="00197026"/>
    <w:rsid w:val="001A051D"/>
    <w:rsid w:val="001A08B0"/>
    <w:rsid w:val="001A0C12"/>
    <w:rsid w:val="001A0D20"/>
    <w:rsid w:val="001A1248"/>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53D"/>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373"/>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39DA"/>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437"/>
    <w:rsid w:val="00282C33"/>
    <w:rsid w:val="00283163"/>
    <w:rsid w:val="00283645"/>
    <w:rsid w:val="0028419E"/>
    <w:rsid w:val="002850C7"/>
    <w:rsid w:val="00285A40"/>
    <w:rsid w:val="00285AAB"/>
    <w:rsid w:val="00285E58"/>
    <w:rsid w:val="00286014"/>
    <w:rsid w:val="00286250"/>
    <w:rsid w:val="00286CD9"/>
    <w:rsid w:val="00286F0C"/>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1A4"/>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2971"/>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854"/>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9AB"/>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3B"/>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B06"/>
    <w:rsid w:val="00453CB1"/>
    <w:rsid w:val="00454360"/>
    <w:rsid w:val="004545C8"/>
    <w:rsid w:val="00454D04"/>
    <w:rsid w:val="00454E2A"/>
    <w:rsid w:val="004550EE"/>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B7"/>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6AF"/>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7AE"/>
    <w:rsid w:val="004B5C5D"/>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BA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26B"/>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2759"/>
    <w:rsid w:val="00573440"/>
    <w:rsid w:val="00573B1A"/>
    <w:rsid w:val="00574E5A"/>
    <w:rsid w:val="00575092"/>
    <w:rsid w:val="00575C40"/>
    <w:rsid w:val="00575F87"/>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7DA"/>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19A"/>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D88"/>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478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8EE"/>
    <w:rsid w:val="00764A60"/>
    <w:rsid w:val="00764AA3"/>
    <w:rsid w:val="00765311"/>
    <w:rsid w:val="00765373"/>
    <w:rsid w:val="00765676"/>
    <w:rsid w:val="00765C37"/>
    <w:rsid w:val="00765D69"/>
    <w:rsid w:val="007661C0"/>
    <w:rsid w:val="007663FC"/>
    <w:rsid w:val="00766B83"/>
    <w:rsid w:val="00766D34"/>
    <w:rsid w:val="00766F4D"/>
    <w:rsid w:val="007672BC"/>
    <w:rsid w:val="00767835"/>
    <w:rsid w:val="00767AA3"/>
    <w:rsid w:val="00767BB4"/>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3060"/>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30"/>
    <w:rsid w:val="00804275"/>
    <w:rsid w:val="00804654"/>
    <w:rsid w:val="008048B6"/>
    <w:rsid w:val="00804C8C"/>
    <w:rsid w:val="00805431"/>
    <w:rsid w:val="0080599E"/>
    <w:rsid w:val="00806379"/>
    <w:rsid w:val="00807001"/>
    <w:rsid w:val="00807060"/>
    <w:rsid w:val="008070C2"/>
    <w:rsid w:val="00810829"/>
    <w:rsid w:val="00811494"/>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3CD"/>
    <w:rsid w:val="00843966"/>
    <w:rsid w:val="00843AC7"/>
    <w:rsid w:val="0084407F"/>
    <w:rsid w:val="0084410B"/>
    <w:rsid w:val="00844613"/>
    <w:rsid w:val="00845646"/>
    <w:rsid w:val="0084663E"/>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077"/>
    <w:rsid w:val="00870657"/>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2B4D"/>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761"/>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0A1"/>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E09"/>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03C"/>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3E4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B15"/>
    <w:rsid w:val="00971CB5"/>
    <w:rsid w:val="00971CF0"/>
    <w:rsid w:val="009726C0"/>
    <w:rsid w:val="00972BF6"/>
    <w:rsid w:val="00972C1C"/>
    <w:rsid w:val="009738AB"/>
    <w:rsid w:val="00973983"/>
    <w:rsid w:val="009746F7"/>
    <w:rsid w:val="00974B60"/>
    <w:rsid w:val="00974DF9"/>
    <w:rsid w:val="00974EC7"/>
    <w:rsid w:val="00975026"/>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2D8"/>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3E9"/>
    <w:rsid w:val="00A5468C"/>
    <w:rsid w:val="00A5469A"/>
    <w:rsid w:val="00A54ABE"/>
    <w:rsid w:val="00A54C3A"/>
    <w:rsid w:val="00A555AF"/>
    <w:rsid w:val="00A5607D"/>
    <w:rsid w:val="00A5620D"/>
    <w:rsid w:val="00A56ABE"/>
    <w:rsid w:val="00A56D3D"/>
    <w:rsid w:val="00A56D81"/>
    <w:rsid w:val="00A605DB"/>
    <w:rsid w:val="00A6060D"/>
    <w:rsid w:val="00A60692"/>
    <w:rsid w:val="00A608DC"/>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553F"/>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2D81"/>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2C9C"/>
    <w:rsid w:val="00B43161"/>
    <w:rsid w:val="00B4359A"/>
    <w:rsid w:val="00B44265"/>
    <w:rsid w:val="00B4476D"/>
    <w:rsid w:val="00B44C21"/>
    <w:rsid w:val="00B453F9"/>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3FE9"/>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2F1D"/>
    <w:rsid w:val="00B633C1"/>
    <w:rsid w:val="00B63697"/>
    <w:rsid w:val="00B63AB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8"/>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973"/>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0E71"/>
    <w:rsid w:val="00BC17A7"/>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984"/>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13F"/>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8FD"/>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A4C"/>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1E4C"/>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BDE"/>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59"/>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0D29"/>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CAE"/>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A7E07"/>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52"/>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13C"/>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801"/>
    <w:rsid w:val="00F51C52"/>
    <w:rsid w:val="00F522D9"/>
    <w:rsid w:val="00F5279C"/>
    <w:rsid w:val="00F529BC"/>
    <w:rsid w:val="00F52E73"/>
    <w:rsid w:val="00F530EB"/>
    <w:rsid w:val="00F53523"/>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D72"/>
    <w:rsid w:val="00FF1FC2"/>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5F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 w:type="character" w:customStyle="1" w:styleId="B2Char">
    <w:name w:val="B2 Char"/>
    <w:basedOn w:val="a2"/>
    <w:link w:val="B2"/>
    <w:locked/>
    <w:rsid w:val="002C2971"/>
    <w:rPr>
      <w:rFonts w:eastAsia="MS Mincho"/>
      <w:lang w:val="en-GB" w:eastAsia="ja-JP"/>
    </w:rPr>
  </w:style>
  <w:style w:type="paragraph" w:customStyle="1" w:styleId="bullet1">
    <w:name w:val="bullet1"/>
    <w:basedOn w:val="a1"/>
    <w:link w:val="bullet1Char"/>
    <w:qFormat/>
    <w:rsid w:val="00E34559"/>
    <w:pPr>
      <w:numPr>
        <w:numId w:val="31"/>
      </w:numPr>
      <w:spacing w:before="0" w:after="0" w:line="240" w:lineRule="auto"/>
      <w:jc w:val="left"/>
    </w:pPr>
    <w:rPr>
      <w:rFonts w:ascii="Calibri" w:eastAsia="SimSun" w:hAnsi="Calibri"/>
      <w:kern w:val="2"/>
      <w:sz w:val="24"/>
      <w:szCs w:val="24"/>
      <w:lang w:eastAsia="zh-CN"/>
    </w:rPr>
  </w:style>
  <w:style w:type="paragraph" w:customStyle="1" w:styleId="bullet2">
    <w:name w:val="bullet2"/>
    <w:basedOn w:val="a1"/>
    <w:link w:val="bullet2Char"/>
    <w:qFormat/>
    <w:rsid w:val="00E34559"/>
    <w:pPr>
      <w:numPr>
        <w:ilvl w:val="1"/>
        <w:numId w:val="31"/>
      </w:numPr>
      <w:spacing w:before="0" w:after="0" w:line="240" w:lineRule="auto"/>
      <w:jc w:val="left"/>
    </w:pPr>
    <w:rPr>
      <w:rFonts w:ascii="Times" w:eastAsia="SimSun" w:hAnsi="Times"/>
      <w:kern w:val="2"/>
      <w:sz w:val="24"/>
      <w:szCs w:val="24"/>
      <w:lang w:eastAsia="zh-CN"/>
    </w:rPr>
  </w:style>
  <w:style w:type="character" w:customStyle="1" w:styleId="bullet1Char">
    <w:name w:val="bullet1 Char"/>
    <w:link w:val="bullet1"/>
    <w:rsid w:val="00E34559"/>
    <w:rPr>
      <w:rFonts w:ascii="Calibri" w:eastAsia="SimSun" w:hAnsi="Calibri"/>
      <w:kern w:val="2"/>
      <w:sz w:val="24"/>
      <w:szCs w:val="24"/>
      <w:lang w:val="en-GB" w:eastAsia="zh-CN"/>
    </w:rPr>
  </w:style>
  <w:style w:type="paragraph" w:customStyle="1" w:styleId="bullet3">
    <w:name w:val="bullet3"/>
    <w:basedOn w:val="a1"/>
    <w:qFormat/>
    <w:rsid w:val="00E34559"/>
    <w:pPr>
      <w:numPr>
        <w:ilvl w:val="2"/>
        <w:numId w:val="31"/>
      </w:numPr>
      <w:spacing w:before="0" w:after="0" w:line="240" w:lineRule="auto"/>
      <w:jc w:val="left"/>
    </w:pPr>
    <w:rPr>
      <w:rFonts w:ascii="Times" w:eastAsia="바탕" w:hAnsi="Times"/>
      <w:szCs w:val="24"/>
    </w:rPr>
  </w:style>
  <w:style w:type="character" w:customStyle="1" w:styleId="bullet2Char">
    <w:name w:val="bullet2 Char"/>
    <w:link w:val="bullet2"/>
    <w:rsid w:val="00E34559"/>
    <w:rPr>
      <w:rFonts w:ascii="Times" w:eastAsia="SimSun" w:hAnsi="Times"/>
      <w:kern w:val="2"/>
      <w:sz w:val="24"/>
      <w:szCs w:val="24"/>
      <w:lang w:val="en-GB" w:eastAsia="zh-CN"/>
    </w:rPr>
  </w:style>
  <w:style w:type="paragraph" w:customStyle="1" w:styleId="bullet4">
    <w:name w:val="bullet4"/>
    <w:basedOn w:val="a1"/>
    <w:qFormat/>
    <w:rsid w:val="00E34559"/>
    <w:pPr>
      <w:numPr>
        <w:ilvl w:val="3"/>
        <w:numId w:val="31"/>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507529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036776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797112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463792">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17946683">
      <w:bodyDiv w:val="1"/>
      <w:marLeft w:val="0"/>
      <w:marRight w:val="0"/>
      <w:marTop w:val="0"/>
      <w:marBottom w:val="0"/>
      <w:divBdr>
        <w:top w:val="none" w:sz="0" w:space="0" w:color="auto"/>
        <w:left w:val="none" w:sz="0" w:space="0" w:color="auto"/>
        <w:bottom w:val="none" w:sz="0" w:space="0" w:color="auto"/>
        <w:right w:val="none" w:sz="0" w:space="0" w:color="auto"/>
      </w:divBdr>
    </w:div>
    <w:div w:id="1476295881">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35033740">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43B4C-3A32-4A0A-A717-648650E55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719</Words>
  <Characters>4099</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김영태/책임연구원/차세대표준(연)ACS팀(youngtae99.kim@lge.com)</cp:lastModifiedBy>
  <cp:revision>9</cp:revision>
  <cp:lastPrinted>2016-05-13T07:55:00Z</cp:lastPrinted>
  <dcterms:created xsi:type="dcterms:W3CDTF">2018-04-06T21:21:00Z</dcterms:created>
  <dcterms:modified xsi:type="dcterms:W3CDTF">2018-05-11T05:36:00Z</dcterms:modified>
</cp:coreProperties>
</file>